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F807" w14:textId="51812138" w:rsidR="007F377D" w:rsidRDefault="009B580A" w:rsidP="007F377D">
      <w:pPr>
        <w:keepNext/>
        <w:spacing w:after="0"/>
        <w:outlineLvl w:val="0"/>
        <w:rPr>
          <w:rFonts w:ascii="Times New Roman" w:eastAsia="Times New Roman" w:hAnsi="Times New Roman"/>
          <w:b/>
          <w:sz w:val="26"/>
          <w:szCs w:val="26"/>
        </w:rPr>
      </w:pPr>
      <w:r>
        <w:rPr>
          <w:rFonts w:ascii="Times New Roman" w:hAnsi="Times New Roman"/>
          <w:sz w:val="26"/>
          <w:szCs w:val="26"/>
        </w:rPr>
        <w:tab/>
      </w:r>
      <w:r w:rsidR="007F377D">
        <w:rPr>
          <w:rFonts w:ascii="Times New Roman" w:hAnsi="Times New Roman"/>
          <w:b/>
          <w:sz w:val="26"/>
          <w:szCs w:val="26"/>
        </w:rPr>
        <w:t xml:space="preserve">                                                  </w:t>
      </w:r>
      <w:r w:rsidR="007F377D">
        <w:rPr>
          <w:rFonts w:ascii="Times New Roman" w:hAnsi="Times New Roman"/>
          <w:b/>
          <w:noProof/>
          <w:sz w:val="26"/>
          <w:szCs w:val="26"/>
          <w:lang w:eastAsia="uk-UA"/>
        </w:rPr>
        <w:drawing>
          <wp:inline distT="0" distB="0" distL="0" distR="0" wp14:anchorId="63F98A99" wp14:editId="051D5637">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007F377D">
        <w:rPr>
          <w:rFonts w:ascii="Times New Roman" w:hAnsi="Times New Roman"/>
          <w:b/>
          <w:sz w:val="26"/>
          <w:szCs w:val="26"/>
        </w:rPr>
        <w:t xml:space="preserve">                                     </w:t>
      </w:r>
    </w:p>
    <w:p w14:paraId="78A62CAF" w14:textId="77777777" w:rsidR="007F377D" w:rsidRDefault="007F377D" w:rsidP="007F377D">
      <w:pPr>
        <w:keepNext/>
        <w:spacing w:after="0"/>
        <w:jc w:val="center"/>
        <w:outlineLvl w:val="0"/>
        <w:rPr>
          <w:rFonts w:ascii="Times New Roman" w:hAnsi="Times New Roman"/>
          <w:b/>
          <w:sz w:val="26"/>
          <w:szCs w:val="26"/>
        </w:rPr>
      </w:pPr>
      <w:r>
        <w:rPr>
          <w:rFonts w:ascii="Times New Roman" w:hAnsi="Times New Roman"/>
          <w:b/>
          <w:sz w:val="26"/>
          <w:szCs w:val="26"/>
        </w:rPr>
        <w:t xml:space="preserve">   БУЧАНСЬКА     МІСЬКА      РАДА                     </w:t>
      </w:r>
    </w:p>
    <w:p w14:paraId="1A0D376D" w14:textId="77777777" w:rsidR="007F377D" w:rsidRDefault="007F377D" w:rsidP="007F377D">
      <w:pPr>
        <w:keepNext/>
        <w:pBdr>
          <w:bottom w:val="single" w:sz="12" w:space="1" w:color="auto"/>
        </w:pBdr>
        <w:spacing w:after="0"/>
        <w:ind w:left="5812" w:hanging="5760"/>
        <w:jc w:val="center"/>
        <w:outlineLvl w:val="1"/>
        <w:rPr>
          <w:rFonts w:ascii="Times New Roman" w:hAnsi="Times New Roman"/>
          <w:b/>
          <w:sz w:val="26"/>
          <w:szCs w:val="26"/>
        </w:rPr>
      </w:pPr>
      <w:r>
        <w:rPr>
          <w:rFonts w:ascii="Times New Roman" w:hAnsi="Times New Roman"/>
          <w:b/>
          <w:sz w:val="26"/>
          <w:szCs w:val="26"/>
        </w:rPr>
        <w:t>КИЇВСЬКОЇ ОБЛАСТІ</w:t>
      </w:r>
    </w:p>
    <w:p w14:paraId="08142233" w14:textId="77777777" w:rsidR="007F377D" w:rsidRDefault="007F377D" w:rsidP="007F377D">
      <w:pPr>
        <w:spacing w:after="0"/>
        <w:jc w:val="center"/>
        <w:rPr>
          <w:rFonts w:ascii="Times New Roman" w:hAnsi="Times New Roman"/>
          <w:b/>
          <w:sz w:val="26"/>
          <w:szCs w:val="26"/>
        </w:rPr>
      </w:pPr>
      <w:r>
        <w:rPr>
          <w:rFonts w:ascii="Times New Roman" w:hAnsi="Times New Roman"/>
          <w:b/>
          <w:bCs/>
          <w:sz w:val="26"/>
          <w:szCs w:val="26"/>
        </w:rPr>
        <w:t>П</w:t>
      </w:r>
      <w:r>
        <w:rPr>
          <w:rFonts w:ascii="Times New Roman" w:hAnsi="Times New Roman" w:cs="Times New Roman"/>
          <w:b/>
          <w:bCs/>
          <w:sz w:val="26"/>
          <w:szCs w:val="26"/>
        </w:rPr>
        <w:t>ˊ</w:t>
      </w:r>
      <w:r>
        <w:rPr>
          <w:rFonts w:ascii="Times New Roman" w:hAnsi="Times New Roman"/>
          <w:b/>
          <w:bCs/>
          <w:sz w:val="26"/>
          <w:szCs w:val="26"/>
        </w:rPr>
        <w:t xml:space="preserve">ЯТДЕСЯТ </w:t>
      </w:r>
      <w:r>
        <w:rPr>
          <w:rFonts w:ascii="Times New Roman" w:hAnsi="Times New Roman"/>
          <w:b/>
          <w:bCs/>
          <w:sz w:val="26"/>
          <w:szCs w:val="26"/>
          <w:lang w:val="ru-RU"/>
        </w:rPr>
        <w:t xml:space="preserve">ТРЕТЯ </w:t>
      </w:r>
      <w:r>
        <w:rPr>
          <w:rFonts w:ascii="Times New Roman" w:hAnsi="Times New Roman"/>
          <w:b/>
          <w:sz w:val="26"/>
          <w:szCs w:val="26"/>
        </w:rPr>
        <w:t>СЕСІЯ  ВОСЬМОГО СКЛИКАННЯ</w:t>
      </w:r>
    </w:p>
    <w:p w14:paraId="0770AA97" w14:textId="77777777" w:rsidR="007F377D" w:rsidRDefault="007F377D" w:rsidP="007F377D">
      <w:pPr>
        <w:spacing w:after="0"/>
        <w:jc w:val="center"/>
        <w:rPr>
          <w:rFonts w:ascii="Times New Roman" w:hAnsi="Times New Roman"/>
          <w:b/>
          <w:sz w:val="20"/>
          <w:szCs w:val="20"/>
          <w:lang w:val="ru-RU"/>
        </w:rPr>
      </w:pPr>
      <w:r>
        <w:rPr>
          <w:rFonts w:ascii="Times New Roman" w:hAnsi="Times New Roman"/>
          <w:b/>
          <w:sz w:val="20"/>
          <w:szCs w:val="20"/>
          <w:lang w:val="ru-RU"/>
        </w:rPr>
        <w:t>(ПОЗАЧЕРГОВЕ ЗАСІДАННЯ)</w:t>
      </w:r>
    </w:p>
    <w:p w14:paraId="084D0ED8" w14:textId="77777777" w:rsidR="007F377D" w:rsidRDefault="007F377D" w:rsidP="007F377D">
      <w:pPr>
        <w:spacing w:after="0"/>
        <w:jc w:val="both"/>
        <w:rPr>
          <w:rFonts w:ascii="Times New Roman" w:eastAsia="Times New Roman" w:hAnsi="Times New Roman"/>
          <w:b/>
          <w:bCs/>
          <w:sz w:val="24"/>
          <w:szCs w:val="24"/>
          <w:lang w:eastAsia="ru-RU"/>
        </w:rPr>
      </w:pPr>
    </w:p>
    <w:p w14:paraId="0F3F197D" w14:textId="77777777" w:rsidR="007F377D" w:rsidRDefault="007F377D" w:rsidP="007F377D">
      <w:pPr>
        <w:keepNext/>
        <w:spacing w:after="0"/>
        <w:jc w:val="center"/>
        <w:outlineLvl w:val="0"/>
        <w:rPr>
          <w:rFonts w:ascii="Times New Roman" w:hAnsi="Times New Roman"/>
          <w:b/>
          <w:sz w:val="28"/>
          <w:szCs w:val="28"/>
        </w:rPr>
      </w:pPr>
      <w:r>
        <w:rPr>
          <w:rFonts w:ascii="Times New Roman" w:hAnsi="Times New Roman"/>
          <w:b/>
          <w:sz w:val="28"/>
          <w:szCs w:val="28"/>
        </w:rPr>
        <w:t xml:space="preserve">Р  І   Ш   Е   Н   </w:t>
      </w:r>
      <w:proofErr w:type="spellStart"/>
      <w:r>
        <w:rPr>
          <w:rFonts w:ascii="Times New Roman" w:hAnsi="Times New Roman"/>
          <w:b/>
          <w:sz w:val="28"/>
          <w:szCs w:val="28"/>
        </w:rPr>
        <w:t>Н</w:t>
      </w:r>
      <w:proofErr w:type="spellEnd"/>
      <w:r>
        <w:rPr>
          <w:rFonts w:ascii="Times New Roman" w:hAnsi="Times New Roman"/>
          <w:b/>
          <w:sz w:val="28"/>
          <w:szCs w:val="28"/>
        </w:rPr>
        <w:t xml:space="preserve">   Я</w:t>
      </w:r>
    </w:p>
    <w:p w14:paraId="02C1798D" w14:textId="77777777" w:rsidR="007F377D" w:rsidRDefault="007F377D" w:rsidP="007F377D">
      <w:pPr>
        <w:spacing w:after="0"/>
        <w:rPr>
          <w:rFonts w:ascii="Times New Roman" w:hAnsi="Times New Roman"/>
          <w:sz w:val="24"/>
          <w:szCs w:val="24"/>
        </w:rPr>
      </w:pPr>
    </w:p>
    <w:p w14:paraId="5360BEFC" w14:textId="77777777" w:rsidR="007F377D" w:rsidRDefault="007F377D" w:rsidP="007F377D">
      <w:pPr>
        <w:spacing w:after="0"/>
        <w:ind w:left="-426"/>
        <w:rPr>
          <w:rFonts w:ascii="Times New Roman" w:hAnsi="Times New Roman"/>
          <w:b/>
          <w:sz w:val="26"/>
          <w:szCs w:val="26"/>
        </w:rPr>
      </w:pPr>
      <w:r>
        <w:rPr>
          <w:rFonts w:ascii="Times New Roman" w:hAnsi="Times New Roman"/>
          <w:b/>
          <w:sz w:val="26"/>
          <w:szCs w:val="26"/>
        </w:rPr>
        <w:t xml:space="preserve">       </w:t>
      </w:r>
      <w:r>
        <w:rPr>
          <w:rFonts w:ascii="Times New Roman" w:hAnsi="Times New Roman"/>
          <w:b/>
          <w:sz w:val="26"/>
          <w:szCs w:val="26"/>
          <w:lang w:val="ru-RU"/>
        </w:rPr>
        <w:t>22</w:t>
      </w:r>
      <w:r>
        <w:rPr>
          <w:rFonts w:ascii="Times New Roman" w:hAnsi="Times New Roman"/>
          <w:b/>
          <w:sz w:val="26"/>
          <w:szCs w:val="26"/>
        </w:rPr>
        <w:t>.12.2023</w:t>
      </w:r>
      <w:r>
        <w:rPr>
          <w:rFonts w:ascii="Times New Roman" w:hAnsi="Times New Roman"/>
          <w:b/>
          <w:sz w:val="26"/>
          <w:szCs w:val="26"/>
        </w:rPr>
        <w:tab/>
      </w:r>
      <w:r>
        <w:rPr>
          <w:rFonts w:ascii="Times New Roman" w:hAnsi="Times New Roman"/>
          <w:b/>
          <w:sz w:val="26"/>
          <w:szCs w:val="26"/>
        </w:rPr>
        <w:tab/>
        <w:t xml:space="preserve">                                     </w:t>
      </w:r>
      <w:r>
        <w:rPr>
          <w:rFonts w:ascii="Times New Roman" w:hAnsi="Times New Roman"/>
          <w:b/>
          <w:sz w:val="26"/>
          <w:szCs w:val="26"/>
        </w:rPr>
        <w:tab/>
        <w:t xml:space="preserve">                                      </w:t>
      </w:r>
      <w:r>
        <w:rPr>
          <w:rFonts w:ascii="Times New Roman" w:hAnsi="Times New Roman" w:cs="Times New Roman"/>
          <w:b/>
          <w:sz w:val="26"/>
          <w:szCs w:val="26"/>
        </w:rPr>
        <w:t xml:space="preserve">№ </w:t>
      </w:r>
      <w:r>
        <w:rPr>
          <w:rFonts w:ascii="Times New Roman" w:hAnsi="Times New Roman" w:cs="Times New Roman"/>
          <w:b/>
          <w:color w:val="000000"/>
          <w:sz w:val="26"/>
          <w:szCs w:val="26"/>
        </w:rPr>
        <w:t>4081</w:t>
      </w:r>
      <w:r>
        <w:rPr>
          <w:rFonts w:ascii="Times New Roman" w:hAnsi="Times New Roman" w:cs="Times New Roman"/>
          <w:sz w:val="26"/>
          <w:szCs w:val="26"/>
        </w:rPr>
        <w:t>-</w:t>
      </w:r>
      <w:r>
        <w:rPr>
          <w:rFonts w:ascii="Times New Roman" w:hAnsi="Times New Roman" w:cs="Times New Roman"/>
          <w:b/>
          <w:color w:val="000000"/>
          <w:sz w:val="26"/>
          <w:szCs w:val="26"/>
        </w:rPr>
        <w:t>53-VIІІ</w:t>
      </w:r>
    </w:p>
    <w:p w14:paraId="418B9C32" w14:textId="77777777" w:rsidR="007F377D" w:rsidRDefault="007F377D" w:rsidP="007F377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p>
    <w:p w14:paraId="23F4020F" w14:textId="77777777" w:rsidR="007F377D" w:rsidRDefault="007F377D" w:rsidP="007F377D">
      <w:pPr>
        <w:spacing w:after="0" w:line="300" w:lineRule="exac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Про умови оплати праці працівників</w:t>
      </w:r>
    </w:p>
    <w:p w14:paraId="62FFAF65" w14:textId="77777777" w:rsidR="007F377D" w:rsidRDefault="007F377D" w:rsidP="007F377D">
      <w:pPr>
        <w:spacing w:after="0" w:line="300" w:lineRule="exac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відділу молоді та спорту Бучанської</w:t>
      </w:r>
    </w:p>
    <w:p w14:paraId="05F8AD81" w14:textId="77777777" w:rsidR="007F377D" w:rsidRDefault="007F377D" w:rsidP="007F377D">
      <w:pPr>
        <w:spacing w:after="0" w:line="300" w:lineRule="exact"/>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міської ради</w:t>
      </w:r>
    </w:p>
    <w:p w14:paraId="3024F259" w14:textId="77777777" w:rsidR="007F377D" w:rsidRDefault="007F377D" w:rsidP="007F377D">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s="Times New Roman"/>
          <w:color w:val="000000"/>
          <w:sz w:val="26"/>
          <w:szCs w:val="26"/>
          <w:lang w:eastAsia="uk-UA"/>
        </w:rPr>
      </w:pPr>
      <w:r>
        <w:rPr>
          <w:rFonts w:ascii="Times New Roman" w:eastAsia="MS Mincho" w:hAnsi="Times New Roman" w:cs="Times New Roman"/>
          <w:color w:val="000000"/>
          <w:sz w:val="26"/>
          <w:szCs w:val="26"/>
          <w:lang w:eastAsia="uk-UA"/>
        </w:rPr>
        <w:tab/>
      </w:r>
    </w:p>
    <w:p w14:paraId="14721AEC" w14:textId="77777777" w:rsidR="007F377D" w:rsidRDefault="007F377D" w:rsidP="007F377D">
      <w:pPr>
        <w:keepNext/>
        <w:tabs>
          <w:tab w:val="left" w:pos="-3686"/>
          <w:tab w:val="left" w:pos="4680"/>
          <w:tab w:val="left" w:pos="5040"/>
        </w:tabs>
        <w:overflowPunct w:val="0"/>
        <w:autoSpaceDE w:val="0"/>
        <w:autoSpaceDN w:val="0"/>
        <w:adjustRightInd w:val="0"/>
        <w:spacing w:after="0" w:line="240" w:lineRule="auto"/>
        <w:ind w:right="5760"/>
        <w:jc w:val="both"/>
        <w:outlineLvl w:val="0"/>
        <w:rPr>
          <w:rFonts w:ascii="Times New Roman" w:eastAsia="MS Mincho" w:hAnsi="Times New Roman" w:cs="Times New Roman"/>
          <w:color w:val="000000"/>
          <w:sz w:val="26"/>
          <w:szCs w:val="26"/>
          <w:lang w:eastAsia="uk-UA"/>
        </w:rPr>
      </w:pPr>
      <w:r>
        <w:rPr>
          <w:rFonts w:ascii="Times New Roman" w:eastAsia="MS Mincho" w:hAnsi="Times New Roman" w:cs="Times New Roman"/>
          <w:color w:val="000000"/>
          <w:sz w:val="26"/>
          <w:szCs w:val="26"/>
          <w:lang w:eastAsia="uk-UA"/>
        </w:rPr>
        <w:tab/>
      </w:r>
    </w:p>
    <w:p w14:paraId="787F9A5C" w14:textId="77777777" w:rsidR="007F377D" w:rsidRDefault="007F377D" w:rsidP="007F377D">
      <w:pPr>
        <w:tabs>
          <w:tab w:val="left" w:pos="-3686"/>
        </w:tab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 виконання постанови Кабінету Міністрів України від 9 березня 2006 р. № 268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 враховуючи пропозиції постійної депутатської комісії з питань соціально 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w:t>
      </w:r>
    </w:p>
    <w:p w14:paraId="5251B854" w14:textId="77777777" w:rsidR="007F377D" w:rsidRDefault="007F377D" w:rsidP="007F377D">
      <w:pPr>
        <w:tabs>
          <w:tab w:val="left" w:pos="-3686"/>
        </w:tabs>
        <w:spacing w:after="0" w:line="240" w:lineRule="auto"/>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r>
    </w:p>
    <w:p w14:paraId="24194090" w14:textId="77777777" w:rsidR="007F377D" w:rsidRDefault="007F377D" w:rsidP="007F377D">
      <w:pPr>
        <w:tabs>
          <w:tab w:val="left" w:pos="-3686"/>
        </w:tabs>
        <w:spacing w:after="0" w:line="240" w:lineRule="auto"/>
        <w:jc w:val="both"/>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ВИРІШИЛА:</w:t>
      </w:r>
    </w:p>
    <w:p w14:paraId="77CEAA2D" w14:textId="77777777" w:rsidR="007F377D" w:rsidRDefault="007F377D" w:rsidP="007F377D">
      <w:pPr>
        <w:spacing w:after="0" w:line="300" w:lineRule="exact"/>
        <w:jc w:val="both"/>
        <w:rPr>
          <w:rFonts w:ascii="Times New Roman" w:eastAsia="Times New Roman" w:hAnsi="Times New Roman" w:cs="Times New Roman"/>
          <w:b/>
          <w:color w:val="000000"/>
          <w:sz w:val="26"/>
          <w:szCs w:val="26"/>
          <w:lang w:eastAsia="ru-RU"/>
        </w:rPr>
      </w:pPr>
    </w:p>
    <w:p w14:paraId="4E6386B2"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 Установити з 01.01.2024 року керівним працівникам, спеціалістам і службовцям Відділу молоді та спорту Бучанської міської ради посадові оклади, обов’язкові надбавки, доплати у розмірах, встановлених постановою Кабінету міністрів України від 09.03.2006 року № 268 « Про упорядкування структури та умови оплати праці працівників апарату органів виконавчої влади, органів прокуратури, судді та інших органів» (зі змінами та доповненнями), наказу Міністерства розвитку економіки, торгівлі та сільського господарства України від 23.03.2021 року № 609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та доповненнями).</w:t>
      </w:r>
    </w:p>
    <w:p w14:paraId="5B33285D"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2. Передбачити згідно затверджених кошторисних призначень річний фонд оплати праці керівних працівників, спеціалістів та службовців Відділу молоді та спорту Бучанської міської ради, створений у складі:</w:t>
      </w:r>
    </w:p>
    <w:p w14:paraId="54A05F7C"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посадового окладу;</w:t>
      </w:r>
    </w:p>
    <w:p w14:paraId="277C00E0"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надбавки за ранг;</w:t>
      </w:r>
    </w:p>
    <w:p w14:paraId="5B3A4945"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надбавки за вислугу років (відсоток від посадового окладу з урахуванням доплати за </w:t>
      </w:r>
    </w:p>
    <w:p w14:paraId="6619C93C"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ранг);</w:t>
      </w:r>
    </w:p>
    <w:p w14:paraId="0649F597"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надбавки за високі досягнення у праці або за виконання особливо важливої роботи</w:t>
      </w:r>
    </w:p>
    <w:p w14:paraId="5E5F5FD2"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(у розмірі 50-100% від посадового окладу з урахуванням – надбавки за ранг та вислугу   </w:t>
      </w:r>
    </w:p>
    <w:p w14:paraId="0BEBDD73"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років);</w:t>
      </w:r>
    </w:p>
    <w:p w14:paraId="729B364D"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доплати за науковий ступінь кандидата або доктора  наук з відповідної спеціальності  </w:t>
      </w:r>
    </w:p>
    <w:p w14:paraId="477F2AA6"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 розмірі відповідно 5 і 10 відсотків від посадового окладу;</w:t>
      </w:r>
    </w:p>
    <w:p w14:paraId="7493F3C0"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матеріальної допомоги для вирішення соціально – побутових питань ( у розмірі, що </w:t>
      </w:r>
    </w:p>
    <w:p w14:paraId="6AFAF798"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не перевищує середньомісячної заробітної плати);</w:t>
      </w:r>
    </w:p>
    <w:p w14:paraId="38F98352"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допомоги на оздоровлення ( у розмірі посадового окладу);</w:t>
      </w:r>
    </w:p>
    <w:p w14:paraId="572FB96E"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фонду преміювання, створеного відповідно до </w:t>
      </w:r>
      <w:proofErr w:type="spellStart"/>
      <w:r>
        <w:rPr>
          <w:rFonts w:ascii="Times New Roman" w:eastAsia="Times New Roman" w:hAnsi="Times New Roman" w:cs="Times New Roman"/>
          <w:sz w:val="26"/>
          <w:szCs w:val="26"/>
          <w:lang w:val="ru-RU" w:eastAsia="ru-RU"/>
        </w:rPr>
        <w:t>колек</w:t>
      </w:r>
      <w:r>
        <w:rPr>
          <w:rFonts w:ascii="Times New Roman" w:eastAsia="Times New Roman" w:hAnsi="Times New Roman" w:cs="Times New Roman"/>
          <w:sz w:val="26"/>
          <w:szCs w:val="26"/>
          <w:lang w:eastAsia="ru-RU"/>
        </w:rPr>
        <w:t>тивного</w:t>
      </w:r>
      <w:proofErr w:type="spellEnd"/>
      <w:r>
        <w:rPr>
          <w:rFonts w:ascii="Times New Roman" w:eastAsia="Times New Roman" w:hAnsi="Times New Roman" w:cs="Times New Roman"/>
          <w:sz w:val="26"/>
          <w:szCs w:val="26"/>
          <w:lang w:eastAsia="ru-RU"/>
        </w:rPr>
        <w:t xml:space="preserve"> договору Відділу молоді </w:t>
      </w:r>
    </w:p>
    <w:p w14:paraId="5CE9863A"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та спорту Бучанської міської ради.</w:t>
      </w:r>
    </w:p>
    <w:p w14:paraId="05CF540A"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3. Встановити керівним працівникам, спеціалістам та службовцям, посадові оклади відповідно до п.1, п.2 та додатків 51, 55 Постанови   № 268 від 09.03.2006 р. (зі змінами).</w:t>
      </w:r>
    </w:p>
    <w:p w14:paraId="7DD7A57F"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4. Здійснювати щомісячне преміювання керівним працівникам, спеціалістам і службовцям Відділу молоді та спорту Бучанської міської ради,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розпорядження міського голови та рішенням керівника установи та у межах фонду преміювання, утвореного у розмірі не менше як 10 відсотків посадових окладів, та економії фонду оплати праці. Конкретні умови, порядок та розміри преміювання працівників визначаються відповідно до колективного договору Відділу молоді та спорту Бучанської міської ради.</w:t>
      </w:r>
    </w:p>
    <w:p w14:paraId="54F4FD3C"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5. Покласти персональну відповідальність за використання коштів фонду оплати праці на керівника Відділу молоді та спорту Бучанської міської ради.</w:t>
      </w:r>
    </w:p>
    <w:p w14:paraId="55A3C9A0"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6. Затвердити штатні розписи Відділу молоді та спорту Бучанської міської ради по КПК 1110160 з 01.01.2024 року (додатки 1, 2, до рішення).</w:t>
      </w:r>
    </w:p>
    <w:p w14:paraId="077AEF5F" w14:textId="77777777" w:rsidR="007F377D" w:rsidRDefault="007F377D" w:rsidP="007F377D">
      <w:pPr>
        <w:spacing w:after="0" w:line="300" w:lineRule="exact"/>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7. Умови оплати праці, затверджені цим рішенням, застосовуються з 01 січня 2024 року.</w:t>
      </w:r>
    </w:p>
    <w:p w14:paraId="123DC6BD" w14:textId="77777777" w:rsidR="007F377D" w:rsidRDefault="007F377D" w:rsidP="007F377D">
      <w:pPr>
        <w:tabs>
          <w:tab w:val="left" w:pos="426"/>
        </w:tabs>
        <w:spacing w:after="0"/>
        <w:jc w:val="both"/>
        <w:rPr>
          <w:rFonts w:ascii="Times New Roman" w:eastAsia="Times New Roman" w:hAnsi="Times New Roman" w:cs="Times New Roman"/>
          <w:sz w:val="26"/>
          <w:szCs w:val="26"/>
          <w:lang w:eastAsia="ru-RU"/>
        </w:rPr>
      </w:pPr>
      <w:r>
        <w:rPr>
          <w:rFonts w:ascii="Times New Roman" w:hAnsi="Times New Roman" w:cs="Times New Roman"/>
          <w:sz w:val="26"/>
          <w:szCs w:val="26"/>
          <w:lang w:eastAsia="zh-CN"/>
        </w:rPr>
        <w:t xml:space="preserve">          8. Контроль за виконанням даного рішення покласти на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66FDEF1D" w14:textId="77777777" w:rsidR="007F377D" w:rsidRDefault="007F377D" w:rsidP="007F377D">
      <w:pPr>
        <w:spacing w:after="0" w:line="240" w:lineRule="auto"/>
        <w:ind w:left="1069"/>
        <w:contextualSpacing/>
        <w:jc w:val="both"/>
        <w:rPr>
          <w:rFonts w:ascii="Times New Roman" w:eastAsia="Times New Roman" w:hAnsi="Times New Roman" w:cs="Times New Roman"/>
          <w:sz w:val="26"/>
          <w:szCs w:val="26"/>
          <w:lang w:eastAsia="ru-RU"/>
        </w:rPr>
      </w:pPr>
    </w:p>
    <w:p w14:paraId="36CB1D0D" w14:textId="77777777" w:rsidR="007F377D" w:rsidRDefault="007F377D" w:rsidP="007F377D">
      <w:pPr>
        <w:spacing w:after="0" w:line="240" w:lineRule="auto"/>
        <w:ind w:firstLine="360"/>
        <w:jc w:val="both"/>
        <w:rPr>
          <w:rFonts w:ascii="Times New Roman" w:eastAsia="Times New Roman" w:hAnsi="Times New Roman" w:cs="Times New Roman"/>
          <w:sz w:val="26"/>
          <w:szCs w:val="26"/>
          <w:lang w:eastAsia="ru-RU"/>
        </w:rPr>
      </w:pPr>
    </w:p>
    <w:p w14:paraId="29265CAE" w14:textId="77777777" w:rsidR="007F377D" w:rsidRDefault="007F377D" w:rsidP="007F377D">
      <w:pPr>
        <w:spacing w:after="0" w:line="240" w:lineRule="auto"/>
        <w:ind w:firstLine="360"/>
        <w:jc w:val="both"/>
        <w:rPr>
          <w:rFonts w:ascii="Times New Roman" w:eastAsia="Times New Roman" w:hAnsi="Times New Roman" w:cs="Times New Roman"/>
          <w:sz w:val="26"/>
          <w:szCs w:val="26"/>
          <w:lang w:eastAsia="ru-RU"/>
        </w:rPr>
      </w:pPr>
    </w:p>
    <w:p w14:paraId="3FBE5AB3" w14:textId="77777777" w:rsidR="007F377D" w:rsidRDefault="007F377D" w:rsidP="007F377D">
      <w:pPr>
        <w:spacing w:after="0" w:line="240" w:lineRule="auto"/>
        <w:ind w:firstLine="360"/>
        <w:jc w:val="both"/>
        <w:rPr>
          <w:rFonts w:ascii="Times New Roman" w:eastAsia="Times New Roman" w:hAnsi="Times New Roman" w:cs="Times New Roman"/>
          <w:sz w:val="26"/>
          <w:szCs w:val="26"/>
          <w:lang w:eastAsia="ru-RU"/>
        </w:rPr>
      </w:pPr>
    </w:p>
    <w:p w14:paraId="04AA568E" w14:textId="77777777" w:rsidR="007F377D" w:rsidRDefault="007F377D" w:rsidP="007F377D">
      <w:pPr>
        <w:spacing w:after="0" w:line="240" w:lineRule="auto"/>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sz w:val="26"/>
          <w:szCs w:val="26"/>
          <w:lang w:eastAsia="ru-RU"/>
        </w:rPr>
        <w:t>Міський голова                                                                    Анатолій</w:t>
      </w:r>
      <w:r>
        <w:rPr>
          <w:rFonts w:ascii="Times New Roman" w:eastAsia="Times New Roman" w:hAnsi="Times New Roman" w:cs="Times New Roman"/>
          <w:b/>
          <w:color w:val="000000"/>
          <w:sz w:val="26"/>
          <w:szCs w:val="26"/>
          <w:lang w:val="ru-RU" w:eastAsia="ru-RU"/>
        </w:rPr>
        <w:t> </w:t>
      </w:r>
      <w:r>
        <w:rPr>
          <w:rFonts w:ascii="Times New Roman" w:eastAsia="Times New Roman" w:hAnsi="Times New Roman" w:cs="Times New Roman"/>
          <w:b/>
          <w:color w:val="000000"/>
          <w:sz w:val="26"/>
          <w:szCs w:val="26"/>
          <w:lang w:eastAsia="ru-RU"/>
        </w:rPr>
        <w:t>ФЕДОРУК</w:t>
      </w:r>
    </w:p>
    <w:p w14:paraId="15C72AAE" w14:textId="77777777" w:rsidR="007F377D" w:rsidRDefault="007F377D" w:rsidP="007F377D">
      <w:pPr>
        <w:spacing w:after="0" w:line="240" w:lineRule="auto"/>
        <w:rPr>
          <w:rFonts w:ascii="Times New Roman" w:eastAsia="Times New Roman" w:hAnsi="Times New Roman" w:cs="Times New Roman"/>
          <w:b/>
          <w:color w:val="000000"/>
          <w:sz w:val="26"/>
          <w:szCs w:val="26"/>
          <w:lang w:eastAsia="ru-RU"/>
        </w:rPr>
      </w:pPr>
    </w:p>
    <w:p w14:paraId="14BD0551" w14:textId="77777777" w:rsidR="007F377D" w:rsidRDefault="007F377D" w:rsidP="007F377D">
      <w:pPr>
        <w:spacing w:after="0" w:line="240" w:lineRule="auto"/>
        <w:rPr>
          <w:rFonts w:ascii="Times New Roman" w:eastAsia="Times New Roman" w:hAnsi="Times New Roman" w:cs="Times New Roman"/>
          <w:b/>
          <w:color w:val="000000"/>
          <w:sz w:val="26"/>
          <w:szCs w:val="26"/>
          <w:lang w:eastAsia="ru-RU"/>
        </w:rPr>
      </w:pPr>
    </w:p>
    <w:p w14:paraId="3281BF6E" w14:textId="77777777" w:rsidR="007F377D" w:rsidRDefault="007F377D" w:rsidP="007F377D">
      <w:pPr>
        <w:spacing w:after="0" w:line="240" w:lineRule="auto"/>
        <w:rPr>
          <w:rFonts w:ascii="Times New Roman" w:eastAsia="Times New Roman" w:hAnsi="Times New Roman" w:cs="Times New Roman"/>
          <w:b/>
          <w:color w:val="000000"/>
          <w:sz w:val="28"/>
          <w:szCs w:val="28"/>
          <w:lang w:eastAsia="ru-RU"/>
        </w:rPr>
      </w:pPr>
    </w:p>
    <w:p w14:paraId="3699B1FB" w14:textId="77777777" w:rsidR="007F377D" w:rsidRDefault="007F377D" w:rsidP="007F377D"/>
    <w:p w14:paraId="414DCDEA" w14:textId="77777777" w:rsidR="007F377D" w:rsidRDefault="007F377D" w:rsidP="007F377D"/>
    <w:p w14:paraId="354D4E69" w14:textId="60E15AC7" w:rsidR="00D64C82" w:rsidRPr="009B580A" w:rsidRDefault="00D64C82" w:rsidP="007F377D">
      <w:pPr>
        <w:spacing w:after="0" w:line="240" w:lineRule="auto"/>
        <w:jc w:val="center"/>
      </w:pPr>
    </w:p>
    <w:sectPr w:rsidR="00D64C82" w:rsidRPr="009B58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F28EC"/>
    <w:multiLevelType w:val="multilevel"/>
    <w:tmpl w:val="9C82B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bullet"/>
      <w:lvlText w:val=""/>
      <w:lvlJc w:val="left"/>
      <w:pPr>
        <w:ind w:left="5040" w:hanging="360"/>
      </w:pPr>
      <w:rPr>
        <w:rFonts w:ascii="Symbol" w:hAnsi="Symbol"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9B5AF8"/>
    <w:multiLevelType w:val="multilevel"/>
    <w:tmpl w:val="621C4B8E"/>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330B675F"/>
    <w:multiLevelType w:val="hybridMultilevel"/>
    <w:tmpl w:val="9B7E9EF4"/>
    <w:lvl w:ilvl="0" w:tplc="7C84495C">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35528E0"/>
    <w:multiLevelType w:val="hybridMultilevel"/>
    <w:tmpl w:val="DB9EC56A"/>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5D76350F"/>
    <w:multiLevelType w:val="hybridMultilevel"/>
    <w:tmpl w:val="FE6868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1FD7882"/>
    <w:multiLevelType w:val="hybridMultilevel"/>
    <w:tmpl w:val="E0FE074E"/>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62761AE2"/>
    <w:multiLevelType w:val="multilevel"/>
    <w:tmpl w:val="051F28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F33518E"/>
    <w:multiLevelType w:val="hybridMultilevel"/>
    <w:tmpl w:val="9380FD72"/>
    <w:lvl w:ilvl="0" w:tplc="CE5E8EE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6"/>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11"/>
    <w:rsid w:val="00531FCF"/>
    <w:rsid w:val="007B747A"/>
    <w:rsid w:val="007E038A"/>
    <w:rsid w:val="007F377D"/>
    <w:rsid w:val="00840B05"/>
    <w:rsid w:val="009B580A"/>
    <w:rsid w:val="00A6631D"/>
    <w:rsid w:val="00BE071D"/>
    <w:rsid w:val="00C2240C"/>
    <w:rsid w:val="00C55011"/>
    <w:rsid w:val="00D64C82"/>
    <w:rsid w:val="00EE5A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6F2E8"/>
  <w15:chartTrackingRefBased/>
  <w15:docId w15:val="{C073E783-0BFB-4B6A-BCBB-A885F3283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071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BE071D"/>
    <w:pPr>
      <w:spacing w:after="0" w:line="240" w:lineRule="auto"/>
    </w:pPr>
    <w:rPr>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E071D"/>
    <w:pPr>
      <w:ind w:left="720"/>
      <w:contextualSpacing/>
    </w:pPr>
  </w:style>
  <w:style w:type="character" w:styleId="a5">
    <w:name w:val="Hyperlink"/>
    <w:basedOn w:val="a0"/>
    <w:uiPriority w:val="99"/>
    <w:semiHidden/>
    <w:unhideWhenUsed/>
    <w:rsid w:val="007B747A"/>
    <w:rPr>
      <w:color w:val="0563C1" w:themeColor="hyperlink"/>
      <w:u w:val="single"/>
    </w:rPr>
  </w:style>
  <w:style w:type="character" w:styleId="a6">
    <w:name w:val="FollowedHyperlink"/>
    <w:basedOn w:val="a0"/>
    <w:uiPriority w:val="99"/>
    <w:semiHidden/>
    <w:unhideWhenUsed/>
    <w:rsid w:val="007B747A"/>
    <w:rPr>
      <w:color w:val="954F72" w:themeColor="followedHyperlink"/>
      <w:u w:val="single"/>
    </w:rPr>
  </w:style>
  <w:style w:type="paragraph" w:customStyle="1" w:styleId="msonormal0">
    <w:name w:val="msonormal"/>
    <w:basedOn w:val="a"/>
    <w:rsid w:val="007B747A"/>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2">
    <w:name w:val="Сетка таблицы2"/>
    <w:basedOn w:val="a1"/>
    <w:uiPriority w:val="59"/>
    <w:qFormat/>
    <w:rsid w:val="00A6631D"/>
    <w:pPr>
      <w:spacing w:after="0" w:line="240" w:lineRule="auto"/>
    </w:pPr>
    <w:rPr>
      <w:rFonts w:ascii="Calibri" w:eastAsia="Calibri" w:hAnsi="Calibri" w:cs="Times New Roman"/>
      <w:sz w:val="20"/>
      <w:szCs w:val="20"/>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0437">
      <w:bodyDiv w:val="1"/>
      <w:marLeft w:val="0"/>
      <w:marRight w:val="0"/>
      <w:marTop w:val="0"/>
      <w:marBottom w:val="0"/>
      <w:divBdr>
        <w:top w:val="none" w:sz="0" w:space="0" w:color="auto"/>
        <w:left w:val="none" w:sz="0" w:space="0" w:color="auto"/>
        <w:bottom w:val="none" w:sz="0" w:space="0" w:color="auto"/>
        <w:right w:val="none" w:sz="0" w:space="0" w:color="auto"/>
      </w:divBdr>
    </w:div>
    <w:div w:id="1739666694">
      <w:bodyDiv w:val="1"/>
      <w:marLeft w:val="0"/>
      <w:marRight w:val="0"/>
      <w:marTop w:val="0"/>
      <w:marBottom w:val="0"/>
      <w:divBdr>
        <w:top w:val="none" w:sz="0" w:space="0" w:color="auto"/>
        <w:left w:val="none" w:sz="0" w:space="0" w:color="auto"/>
        <w:bottom w:val="none" w:sz="0" w:space="0" w:color="auto"/>
        <w:right w:val="none" w:sz="0" w:space="0" w:color="auto"/>
      </w:divBdr>
    </w:div>
    <w:div w:id="1927835507">
      <w:bodyDiv w:val="1"/>
      <w:marLeft w:val="0"/>
      <w:marRight w:val="0"/>
      <w:marTop w:val="0"/>
      <w:marBottom w:val="0"/>
      <w:divBdr>
        <w:top w:val="none" w:sz="0" w:space="0" w:color="auto"/>
        <w:left w:val="none" w:sz="0" w:space="0" w:color="auto"/>
        <w:bottom w:val="none" w:sz="0" w:space="0" w:color="auto"/>
        <w:right w:val="none" w:sz="0" w:space="0" w:color="auto"/>
      </w:divBdr>
    </w:div>
    <w:div w:id="198511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2970</Words>
  <Characters>1693</Characters>
  <Application>Microsoft Office Word</Application>
  <DocSecurity>0</DocSecurity>
  <Lines>14</Lines>
  <Paragraphs>9</Paragraphs>
  <ScaleCrop>false</ScaleCrop>
  <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RL500</dc:creator>
  <cp:keywords/>
  <dc:description/>
  <cp:lastModifiedBy>RL500</cp:lastModifiedBy>
  <cp:revision>11</cp:revision>
  <dcterms:created xsi:type="dcterms:W3CDTF">2023-11-23T07:33:00Z</dcterms:created>
  <dcterms:modified xsi:type="dcterms:W3CDTF">2023-12-22T10:52:00Z</dcterms:modified>
</cp:coreProperties>
</file>